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C16" w:rsidRDefault="00587C16" w:rsidP="00587C16">
      <w:pPr>
        <w:pStyle w:val="NormalWeb"/>
        <w:rPr>
          <w:rFonts w:asciiTheme="minorHAnsi" w:hAnsiTheme="minorHAnsi" w:cstheme="minorHAnsi"/>
        </w:rPr>
      </w:pPr>
      <w:r w:rsidRPr="00587C16">
        <w:rPr>
          <w:rFonts w:asciiTheme="minorHAnsi" w:hAnsiTheme="minorHAnsi" w:cstheme="minorHAnsi"/>
        </w:rPr>
        <w:t xml:space="preserve">The </w:t>
      </w:r>
      <w:r w:rsidR="00722139">
        <w:rPr>
          <w:rFonts w:asciiTheme="minorHAnsi" w:hAnsiTheme="minorHAnsi" w:cstheme="minorHAnsi"/>
        </w:rPr>
        <w:t>I</w:t>
      </w:r>
      <w:r w:rsidRPr="00587C16">
        <w:rPr>
          <w:rFonts w:asciiTheme="minorHAnsi" w:hAnsiTheme="minorHAnsi" w:cstheme="minorHAnsi"/>
        </w:rPr>
        <w:t xml:space="preserve">mportance of the CLARITY Act – A </w:t>
      </w:r>
      <w:r w:rsidR="004D4531">
        <w:rPr>
          <w:rFonts w:asciiTheme="minorHAnsi" w:hAnsiTheme="minorHAnsi" w:cstheme="minorHAnsi"/>
        </w:rPr>
        <w:t>N</w:t>
      </w:r>
      <w:r w:rsidRPr="00587C16">
        <w:rPr>
          <w:rFonts w:asciiTheme="minorHAnsi" w:hAnsiTheme="minorHAnsi" w:cstheme="minorHAnsi"/>
        </w:rPr>
        <w:t xml:space="preserve">ew </w:t>
      </w:r>
      <w:r w:rsidR="004D4531">
        <w:rPr>
          <w:rFonts w:asciiTheme="minorHAnsi" w:hAnsiTheme="minorHAnsi" w:cstheme="minorHAnsi"/>
        </w:rPr>
        <w:t>R</w:t>
      </w:r>
      <w:r w:rsidRPr="00587C16">
        <w:rPr>
          <w:rFonts w:asciiTheme="minorHAnsi" w:hAnsiTheme="minorHAnsi" w:cstheme="minorHAnsi"/>
        </w:rPr>
        <w:t>eport from Citi Bank</w:t>
      </w:r>
    </w:p>
    <w:p w:rsidR="004D4531" w:rsidRPr="004D4531" w:rsidRDefault="00D54176" w:rsidP="00587C16">
      <w:pPr>
        <w:pStyle w:val="NormalWeb"/>
        <w:rPr>
          <w:rFonts w:asciiTheme="minorHAnsi" w:hAnsiTheme="minorHAnsi" w:cstheme="minorHAnsi"/>
          <w:b/>
          <w:bCs/>
          <w:u w:val="single"/>
        </w:rPr>
      </w:pPr>
      <w:hyperlink r:id="rId6" w:history="1">
        <w:r w:rsidR="004D4531" w:rsidRPr="00D54176">
          <w:rPr>
            <w:rStyle w:val="Hyperlink"/>
            <w:rFonts w:asciiTheme="minorHAnsi" w:hAnsiTheme="minorHAnsi" w:cstheme="minorHAnsi"/>
            <w:b/>
            <w:bCs/>
          </w:rPr>
          <w:t>Full breakdown in attached PDF</w:t>
        </w:r>
      </w:hyperlink>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major US bank Citi recently published a new crypto report called Tokenization 2030: Wall Street On-Chain.</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This report shows the potential of the crypto market. It focuses on 3 important issues.</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first is the movement from regular stock trading to on-chain trading. This means stocks could trade on the blockchain instead of using the traditional settlement systems used today.</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New York Stock Exchange and settlement companies like DTCC are already moving toward on-chain stocks.</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When stocks trade on the blockchain, they must operate through tokens and cryptocurrencies. This means specific crypto assets will need to be bought and exchanged.</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amount of money that could enter the crypto market is huge.</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Citi predicts that between $2.7 trillion and $8.2 trillion of assets will be tokenized, or converted into a cryptocurrency-based mechanism.</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Each Apple stock or Tesla stock that investors buy could eventually be attached to a specific crypto token. That token would be connected to a cryptocurrency network and company.</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But that is not all.</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second layer is settlement. What happens when an investor sells a stock on-chain?</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investor cannot receive a traditional wire transfer because the transaction is taking place on-chain.</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That is where stablecoins are used.</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Stocks trading on-chain could be settled using stablecoins such as USDC.</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Citi predicts that the stablecoin market could grow to $1.9 trillion by 2030.</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It is around $300 billion today. Companies that issue stablecoins, such as Circle, and cryptocurrency networks that operate stablecoins, such as Ethereum, could receive massive support.</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But 2030 is still years away. When will the market reaction occur?</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lastRenderedPageBreak/>
        <w:t>This brings us to the third layer.</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Political approval and confirmation through the CLARITY Act.</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Without the CLARITY Act, this prediction from Citi is unlikely to happen.</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Therefore, traders need to wait patiently for US Congress to do its job.</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When will this happen?</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 timeline is very short.</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Approval needs to happen in June.</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If Congress does not vote in June, the CLARITY Act could be postponed with no clear schedule, possibly for years.</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In August, Congress goes on summer break. When it returns, the November congressional elections will become the main priority.</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If Congress changes and the majority flips after the election, Republicans could become the minority and President Trump may not have enough votes.</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Then the crypto community could be forced to wait until 2028.</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Meaning June is probably the most important political month in crypto history.</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But it will not be easy.</w:t>
      </w:r>
    </w:p>
    <w:p w:rsidR="00587C16" w:rsidRPr="00587C16" w:rsidRDefault="00587C16" w:rsidP="00587C16">
      <w:pPr>
        <w:pStyle w:val="NormalWeb"/>
        <w:rPr>
          <w:rFonts w:asciiTheme="minorHAnsi" w:hAnsiTheme="minorHAnsi" w:cstheme="minorHAnsi"/>
        </w:rPr>
      </w:pPr>
      <w:r>
        <w:rPr>
          <w:rFonts w:asciiTheme="minorHAnsi" w:hAnsiTheme="minorHAnsi" w:cstheme="minorHAnsi"/>
        </w:rPr>
        <w:t>N</w:t>
      </w:r>
      <w:r w:rsidRPr="00587C16">
        <w:rPr>
          <w:rFonts w:asciiTheme="minorHAnsi" w:hAnsiTheme="minorHAnsi" w:cstheme="minorHAnsi"/>
        </w:rPr>
        <w:t>ot everyone is happy about these developments. JPMorgan CEO Jamie Dimon recently criticized the latest version of the CLARITY Act and warned that traditional banks still have major concerns about stablecoins. Dimon argued that some stablecoins could eventually compete with bank deposits by offering features similar to interest-bearing accounts without the same regulatory protections. According to him, banks are unlikely to support such a system unless stronger safeguards are introduced.</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t>His comments highlight the growing battle between the traditional banking system and the crypto industry. While crypto companies see stablecoins as the future of payments and settlements, many banks worry that money could leave the banking system and move into stablecoins. This debate is now becoming one of the key issues Congress must resolve before the CLARITY Act can become law.</w:t>
      </w:r>
    </w:p>
    <w:p w:rsidR="00587C16" w:rsidRPr="00587C16" w:rsidRDefault="00587C16" w:rsidP="00587C16">
      <w:pPr>
        <w:pStyle w:val="NormalWeb"/>
        <w:rPr>
          <w:rFonts w:asciiTheme="minorHAnsi" w:hAnsiTheme="minorHAnsi" w:cstheme="minorHAnsi"/>
        </w:rPr>
      </w:pPr>
      <w:r w:rsidRPr="00587C16">
        <w:rPr>
          <w:rFonts w:asciiTheme="minorHAnsi" w:hAnsiTheme="minorHAnsi" w:cstheme="minorHAnsi"/>
        </w:rPr>
        <w:lastRenderedPageBreak/>
        <w:t>Ultimately, the future of tokenization, stablecoins and the broader crypto market may depend on whether Congress can successfully bridge the gap between Wall Street and the crypto industry during the critical month of June.</w:t>
      </w:r>
    </w:p>
    <w:p w:rsidR="00756DEA" w:rsidRDefault="000F4B4C" w:rsidP="00587C16">
      <w:pPr>
        <w:rPr>
          <w:rFonts w:cstheme="minorHAnsi"/>
        </w:rPr>
      </w:pPr>
      <w:r>
        <w:rPr>
          <w:rFonts w:cstheme="minorHAnsi"/>
        </w:rPr>
        <w:t>Sources:</w:t>
      </w:r>
    </w:p>
    <w:p w:rsidR="000F4B4C" w:rsidRDefault="000F4B4C" w:rsidP="00587C16">
      <w:pPr>
        <w:rPr>
          <w:rFonts w:cstheme="minorHAnsi"/>
        </w:rPr>
      </w:pPr>
      <w:hyperlink r:id="rId7" w:history="1">
        <w:r w:rsidRPr="002B0CFA">
          <w:rPr>
            <w:rStyle w:val="Hyperlink"/>
            <w:rFonts w:cstheme="minorHAnsi"/>
          </w:rPr>
          <w:t>https://www.coindesk.com/policy/2026/05/29/the-banks-will-not-accept-it-dimon-escalates-battle-over-stablecoin-rewards-in-clarity-act-debate</w:t>
        </w:r>
      </w:hyperlink>
    </w:p>
    <w:p w:rsidR="000F4B4C" w:rsidRDefault="000F4B4C" w:rsidP="00587C16">
      <w:pPr>
        <w:rPr>
          <w:rFonts w:cstheme="minorHAnsi"/>
        </w:rPr>
      </w:pPr>
      <w:hyperlink r:id="rId8" w:history="1">
        <w:r w:rsidRPr="002B0CFA">
          <w:rPr>
            <w:rStyle w:val="Hyperlink"/>
            <w:rFonts w:cstheme="minorHAnsi"/>
          </w:rPr>
          <w:t>https://www.coindesk.com/markets/2026/06/01/citi-predicts-the-tokenized-securities-market-will-grow-to-usd5-5-trillion-by-2030</w:t>
        </w:r>
      </w:hyperlink>
    </w:p>
    <w:p w:rsidR="000F4B4C" w:rsidRPr="00587C16" w:rsidRDefault="000F4B4C" w:rsidP="00587C16">
      <w:pPr>
        <w:rPr>
          <w:rFonts w:cstheme="minorHAnsi"/>
        </w:rPr>
      </w:pPr>
    </w:p>
    <w:sectPr w:rsidR="000F4B4C" w:rsidRPr="00587C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03E" w:rsidRDefault="00B0003E" w:rsidP="00D54176">
      <w:pPr>
        <w:spacing w:after="0" w:line="240" w:lineRule="auto"/>
      </w:pPr>
      <w:r>
        <w:separator/>
      </w:r>
    </w:p>
  </w:endnote>
  <w:endnote w:type="continuationSeparator" w:id="0">
    <w:p w:rsidR="00B0003E" w:rsidRDefault="00B0003E" w:rsidP="00D5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03E" w:rsidRDefault="00B0003E" w:rsidP="00D54176">
      <w:pPr>
        <w:spacing w:after="0" w:line="240" w:lineRule="auto"/>
      </w:pPr>
      <w:r>
        <w:separator/>
      </w:r>
    </w:p>
  </w:footnote>
  <w:footnote w:type="continuationSeparator" w:id="0">
    <w:p w:rsidR="00B0003E" w:rsidRDefault="00B0003E" w:rsidP="00D54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04"/>
    <w:rsid w:val="00021E01"/>
    <w:rsid w:val="000F4B4C"/>
    <w:rsid w:val="00194341"/>
    <w:rsid w:val="00322739"/>
    <w:rsid w:val="003E634C"/>
    <w:rsid w:val="004470D4"/>
    <w:rsid w:val="004D3DFC"/>
    <w:rsid w:val="004D4531"/>
    <w:rsid w:val="00527059"/>
    <w:rsid w:val="00587C16"/>
    <w:rsid w:val="00722139"/>
    <w:rsid w:val="00756DEA"/>
    <w:rsid w:val="00B0003E"/>
    <w:rsid w:val="00B96473"/>
    <w:rsid w:val="00B96C7D"/>
    <w:rsid w:val="00D54176"/>
    <w:rsid w:val="00E76B20"/>
    <w:rsid w:val="00FF41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6F32BA1"/>
  <w15:chartTrackingRefBased/>
  <w15:docId w15:val="{72A2B3C1-FC01-D444-8C4F-AD7B3AEB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1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1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1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1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1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1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1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104"/>
    <w:rPr>
      <w:rFonts w:eastAsiaTheme="majorEastAsia" w:cstheme="majorBidi"/>
      <w:color w:val="272727" w:themeColor="text1" w:themeTint="D8"/>
    </w:rPr>
  </w:style>
  <w:style w:type="paragraph" w:styleId="Title">
    <w:name w:val="Title"/>
    <w:basedOn w:val="Normal"/>
    <w:next w:val="Normal"/>
    <w:link w:val="TitleChar"/>
    <w:uiPriority w:val="10"/>
    <w:qFormat/>
    <w:rsid w:val="00FF4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104"/>
    <w:pPr>
      <w:spacing w:before="160"/>
      <w:jc w:val="center"/>
    </w:pPr>
    <w:rPr>
      <w:i/>
      <w:iCs/>
      <w:color w:val="404040" w:themeColor="text1" w:themeTint="BF"/>
    </w:rPr>
  </w:style>
  <w:style w:type="character" w:customStyle="1" w:styleId="QuoteChar">
    <w:name w:val="Quote Char"/>
    <w:basedOn w:val="DefaultParagraphFont"/>
    <w:link w:val="Quote"/>
    <w:uiPriority w:val="29"/>
    <w:rsid w:val="00FF4104"/>
    <w:rPr>
      <w:i/>
      <w:iCs/>
      <w:color w:val="404040" w:themeColor="text1" w:themeTint="BF"/>
    </w:rPr>
  </w:style>
  <w:style w:type="paragraph" w:styleId="ListParagraph">
    <w:name w:val="List Paragraph"/>
    <w:basedOn w:val="Normal"/>
    <w:uiPriority w:val="34"/>
    <w:qFormat/>
    <w:rsid w:val="00FF4104"/>
    <w:pPr>
      <w:ind w:left="720"/>
      <w:contextualSpacing/>
    </w:pPr>
  </w:style>
  <w:style w:type="character" w:styleId="IntenseEmphasis">
    <w:name w:val="Intense Emphasis"/>
    <w:basedOn w:val="DefaultParagraphFont"/>
    <w:uiPriority w:val="21"/>
    <w:qFormat/>
    <w:rsid w:val="00FF4104"/>
    <w:rPr>
      <w:i/>
      <w:iCs/>
      <w:color w:val="2F5496" w:themeColor="accent1" w:themeShade="BF"/>
    </w:rPr>
  </w:style>
  <w:style w:type="paragraph" w:styleId="IntenseQuote">
    <w:name w:val="Intense Quote"/>
    <w:basedOn w:val="Normal"/>
    <w:next w:val="Normal"/>
    <w:link w:val="IntenseQuoteChar"/>
    <w:uiPriority w:val="30"/>
    <w:qFormat/>
    <w:rsid w:val="00FF4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104"/>
    <w:rPr>
      <w:i/>
      <w:iCs/>
      <w:color w:val="2F5496" w:themeColor="accent1" w:themeShade="BF"/>
    </w:rPr>
  </w:style>
  <w:style w:type="character" w:styleId="IntenseReference">
    <w:name w:val="Intense Reference"/>
    <w:basedOn w:val="DefaultParagraphFont"/>
    <w:uiPriority w:val="32"/>
    <w:qFormat/>
    <w:rsid w:val="00FF4104"/>
    <w:rPr>
      <w:b/>
      <w:bCs/>
      <w:smallCaps/>
      <w:color w:val="2F5496" w:themeColor="accent1" w:themeShade="BF"/>
      <w:spacing w:val="5"/>
    </w:rPr>
  </w:style>
  <w:style w:type="paragraph" w:styleId="NormalWeb">
    <w:name w:val="Normal (Web)"/>
    <w:basedOn w:val="Normal"/>
    <w:uiPriority w:val="99"/>
    <w:semiHidden/>
    <w:unhideWhenUsed/>
    <w:rsid w:val="00587C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F4B4C"/>
    <w:rPr>
      <w:color w:val="0563C1" w:themeColor="hyperlink"/>
      <w:u w:val="single"/>
    </w:rPr>
  </w:style>
  <w:style w:type="character" w:styleId="UnresolvedMention">
    <w:name w:val="Unresolved Mention"/>
    <w:basedOn w:val="DefaultParagraphFont"/>
    <w:uiPriority w:val="99"/>
    <w:semiHidden/>
    <w:unhideWhenUsed/>
    <w:rsid w:val="000F4B4C"/>
    <w:rPr>
      <w:color w:val="605E5C"/>
      <w:shd w:val="clear" w:color="auto" w:fill="E1DFDD"/>
    </w:rPr>
  </w:style>
  <w:style w:type="paragraph" w:styleId="Header">
    <w:name w:val="header"/>
    <w:basedOn w:val="Normal"/>
    <w:link w:val="HeaderChar"/>
    <w:uiPriority w:val="99"/>
    <w:unhideWhenUsed/>
    <w:rsid w:val="00D5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76"/>
  </w:style>
  <w:style w:type="paragraph" w:styleId="Footer">
    <w:name w:val="footer"/>
    <w:basedOn w:val="Normal"/>
    <w:link w:val="FooterChar"/>
    <w:uiPriority w:val="99"/>
    <w:unhideWhenUsed/>
    <w:rsid w:val="00D54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indesk.com/markets/2026/06/01/citi-predicts-the-tokenized-securities-market-will-grow-to-usd5-5-trillion-by-2030" TargetMode="External"/><Relationship Id="rId3" Type="http://schemas.openxmlformats.org/officeDocument/2006/relationships/webSettings" Target="webSettings.xml"/><Relationship Id="rId7" Type="http://schemas.openxmlformats.org/officeDocument/2006/relationships/hyperlink" Target="https://www.coindesk.com/policy/2026/05/29/the-banks-will-not-accept-it-dimon-escalates-battle-over-stablecoin-rewards-in-clarity-act-deb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42e61c1-99e8-40ba-9efb-0500edeece8c.usrfiles.com/ugd/b42e61_7f1c8c4a24fa4bc681452415c4ac3619.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Karin</dc:creator>
  <cp:keywords/>
  <dc:description/>
  <cp:lastModifiedBy>Tal Karin</cp:lastModifiedBy>
  <cp:revision>8</cp:revision>
  <dcterms:created xsi:type="dcterms:W3CDTF">2026-06-01T08:22:00Z</dcterms:created>
  <dcterms:modified xsi:type="dcterms:W3CDTF">2026-06-01T12:56:00Z</dcterms:modified>
</cp:coreProperties>
</file>